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7CF70" w14:textId="28E67707" w:rsidR="00B868BB" w:rsidRPr="00B868BB" w:rsidRDefault="00B868BB" w:rsidP="00B868BB">
      <w:pPr>
        <w:pStyle w:val="NormalWeb"/>
        <w:rPr>
          <w:rFonts w:asciiTheme="minorHAnsi" w:hAnsiTheme="minorHAnsi"/>
        </w:rPr>
      </w:pPr>
      <w:bookmarkStart w:id="0" w:name="_GoBack"/>
      <w:proofErr w:type="spellStart"/>
      <w:r w:rsidRPr="00B868BB">
        <w:rPr>
          <w:rFonts w:asciiTheme="minorHAnsi" w:hAnsiTheme="minorHAnsi"/>
        </w:rPr>
        <w:t>Ликовна</w:t>
      </w:r>
      <w:proofErr w:type="spellEnd"/>
      <w:r w:rsidRPr="00B868BB">
        <w:rPr>
          <w:rFonts w:asciiTheme="minorHAnsi" w:hAnsiTheme="minorHAnsi"/>
        </w:rPr>
        <w:t xml:space="preserve"> </w:t>
      </w:r>
      <w:proofErr w:type="spellStart"/>
      <w:r w:rsidRPr="00B868BB">
        <w:rPr>
          <w:rFonts w:asciiTheme="minorHAnsi" w:hAnsiTheme="minorHAnsi"/>
        </w:rPr>
        <w:t>галерија</w:t>
      </w:r>
      <w:proofErr w:type="spellEnd"/>
      <w:r w:rsidRPr="00B868BB">
        <w:rPr>
          <w:rFonts w:asciiTheme="minorHAnsi" w:hAnsiTheme="minorHAnsi"/>
        </w:rPr>
        <w:t xml:space="preserve">, </w:t>
      </w:r>
      <w:proofErr w:type="spellStart"/>
      <w:r w:rsidRPr="00B868BB">
        <w:rPr>
          <w:rFonts w:asciiTheme="minorHAnsi" w:hAnsiTheme="minorHAnsi"/>
        </w:rPr>
        <w:t>Kултурни</w:t>
      </w:r>
      <w:proofErr w:type="spellEnd"/>
      <w:r w:rsidRPr="00B868BB">
        <w:rPr>
          <w:rFonts w:asciiTheme="minorHAnsi" w:hAnsiTheme="minorHAnsi"/>
        </w:rPr>
        <w:t xml:space="preserve"> </w:t>
      </w:r>
      <w:proofErr w:type="spellStart"/>
      <w:r w:rsidRPr="00B868BB">
        <w:rPr>
          <w:rFonts w:asciiTheme="minorHAnsi" w:hAnsiTheme="minorHAnsi"/>
        </w:rPr>
        <w:t>центар</w:t>
      </w:r>
      <w:proofErr w:type="spellEnd"/>
      <w:r w:rsidRPr="00B868BB">
        <w:rPr>
          <w:rFonts w:asciiTheme="minorHAnsi" w:hAnsiTheme="minorHAnsi"/>
        </w:rPr>
        <w:t xml:space="preserve"> </w:t>
      </w:r>
      <w:proofErr w:type="spellStart"/>
      <w:r w:rsidRPr="00B868BB">
        <w:rPr>
          <w:rFonts w:asciiTheme="minorHAnsi" w:hAnsiTheme="minorHAnsi"/>
        </w:rPr>
        <w:t>Београда</w:t>
      </w:r>
      <w:proofErr w:type="spellEnd"/>
      <w:r w:rsidRPr="00B868BB">
        <w:rPr>
          <w:rFonts w:asciiTheme="minorHAnsi" w:hAnsiTheme="minorHAnsi"/>
        </w:rPr>
        <w:br/>
        <w:t>9–31. 12. 2022.</w:t>
      </w:r>
    </w:p>
    <w:p w14:paraId="4CBDD022" w14:textId="77777777" w:rsidR="00B868BB" w:rsidRPr="00B868BB" w:rsidRDefault="00B868BB" w:rsidP="00B868BB">
      <w:pPr>
        <w:pStyle w:val="NormalWeb"/>
        <w:rPr>
          <w:rFonts w:asciiTheme="minorHAnsi" w:hAnsiTheme="minorHAnsi"/>
        </w:rPr>
      </w:pPr>
      <w:r w:rsidRPr="00B868BB">
        <w:rPr>
          <w:rStyle w:val="Emphasis"/>
          <w:rFonts w:asciiTheme="minorHAnsi" w:hAnsiTheme="minorHAnsi"/>
          <w:b/>
          <w:bCs/>
        </w:rPr>
        <w:t>I Don’t Know That Word... Yet [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Не</w:t>
      </w:r>
      <w:proofErr w:type="spellEnd"/>
      <w:r w:rsidRPr="00B868BB">
        <w:rPr>
          <w:rStyle w:val="Emphasis"/>
          <w:rFonts w:asciiTheme="minorHAnsi" w:hAnsiTheme="minorHAnsi"/>
          <w:b/>
          <w:bCs/>
        </w:rPr>
        <w:t xml:space="preserve">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знам</w:t>
      </w:r>
      <w:proofErr w:type="spellEnd"/>
      <w:r w:rsidRPr="00B868BB">
        <w:rPr>
          <w:rStyle w:val="Emphasis"/>
          <w:rFonts w:asciiTheme="minorHAnsi" w:hAnsiTheme="minorHAnsi"/>
          <w:b/>
          <w:bCs/>
        </w:rPr>
        <w:t xml:space="preserve">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ту</w:t>
      </w:r>
      <w:proofErr w:type="spellEnd"/>
      <w:r w:rsidRPr="00B868BB">
        <w:rPr>
          <w:rStyle w:val="Emphasis"/>
          <w:rFonts w:asciiTheme="minorHAnsi" w:hAnsiTheme="minorHAnsi"/>
          <w:b/>
          <w:bCs/>
        </w:rPr>
        <w:t xml:space="preserve">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реч</w:t>
      </w:r>
      <w:proofErr w:type="spellEnd"/>
      <w:r w:rsidRPr="00B868BB">
        <w:rPr>
          <w:rStyle w:val="Emphasis"/>
          <w:rFonts w:asciiTheme="minorHAnsi" w:hAnsiTheme="minorHAnsi"/>
          <w:b/>
          <w:bCs/>
        </w:rPr>
        <w:t xml:space="preserve">...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још</w:t>
      </w:r>
      <w:proofErr w:type="spellEnd"/>
      <w:r w:rsidRPr="00B868BB">
        <w:rPr>
          <w:rStyle w:val="Strong"/>
          <w:rFonts w:asciiTheme="minorHAnsi" w:hAnsiTheme="minorHAnsi"/>
        </w:rPr>
        <w:t xml:space="preserve"> </w:t>
      </w:r>
      <w:proofErr w:type="spellStart"/>
      <w:r w:rsidRPr="00B868BB">
        <w:rPr>
          <w:rStyle w:val="Emphasis"/>
          <w:rFonts w:asciiTheme="minorHAnsi" w:hAnsiTheme="minorHAnsi"/>
          <w:b/>
          <w:bCs/>
        </w:rPr>
        <w:t>увек</w:t>
      </w:r>
      <w:proofErr w:type="spellEnd"/>
      <w:r w:rsidRPr="00B868BB">
        <w:rPr>
          <w:rStyle w:val="Strong"/>
          <w:rFonts w:asciiTheme="minorHAnsi" w:hAnsiTheme="minorHAnsi"/>
        </w:rPr>
        <w:t>]</w:t>
      </w:r>
      <w:r w:rsidRPr="00B868BB">
        <w:rPr>
          <w:rFonts w:asciiTheme="minorHAnsi" w:hAnsiTheme="minorHAnsi"/>
        </w:rPr>
        <w:br/>
      </w:r>
      <w:proofErr w:type="spellStart"/>
      <w:r w:rsidRPr="00B868BB">
        <w:rPr>
          <w:rStyle w:val="Strong"/>
          <w:rFonts w:asciiTheme="minorHAnsi" w:hAnsiTheme="minorHAnsi"/>
        </w:rPr>
        <w:t>Дејан</w:t>
      </w:r>
      <w:proofErr w:type="spellEnd"/>
      <w:r w:rsidRPr="00B868BB">
        <w:rPr>
          <w:rStyle w:val="Strong"/>
          <w:rFonts w:asciiTheme="minorHAnsi" w:hAnsiTheme="minorHAnsi"/>
        </w:rPr>
        <w:t xml:space="preserve"> </w:t>
      </w:r>
      <w:proofErr w:type="spellStart"/>
      <w:r w:rsidRPr="00B868BB">
        <w:rPr>
          <w:rStyle w:val="Strong"/>
          <w:rFonts w:asciiTheme="minorHAnsi" w:hAnsiTheme="minorHAnsi"/>
        </w:rPr>
        <w:t>Kалудјеровић</w:t>
      </w:r>
      <w:proofErr w:type="spellEnd"/>
    </w:p>
    <w:p w14:paraId="4479BF66" w14:textId="675C6058" w:rsidR="00B868BB" w:rsidRPr="00B868BB" w:rsidRDefault="00B868BB" w:rsidP="00E4517E">
      <w:pPr>
        <w:pStyle w:val="BodyA"/>
        <w:pBdr>
          <w:bottom w:val="single" w:sz="6" w:space="1" w:color="auto"/>
        </w:pBdr>
        <w:spacing w:before="100" w:beforeAutospacing="1" w:after="100" w:afterAutospacing="1" w:line="288" w:lineRule="auto"/>
        <w:rPr>
          <w:rFonts w:asciiTheme="minorHAnsi" w:hAnsiTheme="minorHAnsi"/>
          <w:b/>
          <w:bCs/>
          <w:noProof/>
          <w:sz w:val="24"/>
          <w:szCs w:val="24"/>
          <w:lang w:val="sr-Cyrl-RS"/>
        </w:rPr>
      </w:pPr>
    </w:p>
    <w:bookmarkEnd w:id="0"/>
    <w:p w14:paraId="4818F359" w14:textId="77777777" w:rsidR="00B868BB" w:rsidRPr="00B868BB" w:rsidRDefault="00B868BB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b/>
          <w:bCs/>
          <w:noProof/>
          <w:sz w:val="24"/>
          <w:szCs w:val="24"/>
          <w:lang w:val="sr-Cyrl-RS"/>
        </w:rPr>
      </w:pPr>
    </w:p>
    <w:p w14:paraId="2236540C" w14:textId="77777777" w:rsidR="00347C9D" w:rsidRPr="00B868BB" w:rsidRDefault="00EE6EC2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b/>
          <w:bCs/>
          <w:noProof/>
          <w:sz w:val="24"/>
          <w:szCs w:val="24"/>
          <w:lang w:val="sr-Cyrl-RS"/>
        </w:rPr>
      </w:pPr>
      <w:r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Бољи</w:t>
      </w:r>
      <w:r w:rsidR="009B5BE3"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сам</w:t>
      </w:r>
      <w:r w:rsidR="009B5BE3"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од</w:t>
      </w:r>
      <w:r w:rsidR="009B5BE3"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тебе</w:t>
      </w:r>
      <w:r w:rsidR="009B5BE3"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то</w:t>
      </w:r>
      <w:r w:rsidR="009B5BE3"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почетак</w:t>
      </w:r>
      <w:r w:rsidR="009B5BE3"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свега</w:t>
      </w:r>
      <w:r w:rsidR="009B5BE3" w:rsidRPr="00B868BB">
        <w:rPr>
          <w:rFonts w:asciiTheme="minorHAnsi" w:hAnsiTheme="minorHAnsi"/>
          <w:b/>
          <w:bCs/>
          <w:noProof/>
          <w:sz w:val="24"/>
          <w:szCs w:val="24"/>
          <w:lang w:val="sr-Cyrl-RS"/>
        </w:rPr>
        <w:t>!</w:t>
      </w:r>
    </w:p>
    <w:p w14:paraId="1943190B" w14:textId="77777777" w:rsidR="00347C9D" w:rsidRPr="00B868BB" w:rsidRDefault="009B5BE3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noProof/>
          <w:sz w:val="24"/>
          <w:szCs w:val="24"/>
          <w:lang w:val="sr-Cyrl-RS"/>
        </w:rPr>
      </w:pPr>
      <w:r w:rsidRPr="00B868BB">
        <w:rPr>
          <w:rFonts w:asciiTheme="minorHAnsi" w:hAnsiTheme="minorHAnsi"/>
          <w:noProof/>
          <w:sz w:val="24"/>
          <w:szCs w:val="24"/>
          <w:lang w:val="sr-Cyrl-RS"/>
        </w:rPr>
        <w:t>(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Поводом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опере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Conversations</w:t>
      </w:r>
      <w:r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 xml:space="preserve">: </w:t>
      </w:r>
      <w:r w:rsidR="00EE6EC2"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I</w:t>
      </w:r>
      <w:r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don</w:t>
      </w:r>
      <w:r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’</w:t>
      </w:r>
      <w:r w:rsidR="00EE6EC2"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t</w:t>
      </w:r>
      <w:r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kno</w:t>
      </w:r>
      <w:r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 xml:space="preserve">w </w:t>
      </w:r>
      <w:r w:rsidR="00EE6EC2"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that</w:t>
      </w:r>
      <w:r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 xml:space="preserve"> w</w:t>
      </w:r>
      <w:r w:rsidR="00EE6EC2"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ord</w:t>
      </w:r>
      <w:r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 xml:space="preserve"> </w:t>
      </w:r>
      <w:r w:rsidR="001C4049"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..</w:t>
      </w:r>
      <w:r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. y</w:t>
      </w:r>
      <w:r w:rsidR="00EE6EC2"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et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Дејана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Калу</w:t>
      </w:r>
      <w:r w:rsidR="001E070A" w:rsidRPr="00B868BB">
        <w:rPr>
          <w:rFonts w:asciiTheme="minorHAnsi" w:hAnsiTheme="minorHAnsi"/>
          <w:noProof/>
          <w:sz w:val="24"/>
          <w:szCs w:val="24"/>
          <w:lang w:val="sr-Cyrl-RS"/>
        </w:rPr>
        <w:t>дј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еровића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)</w:t>
      </w:r>
    </w:p>
    <w:p w14:paraId="3E2475D1" w14:textId="77777777" w:rsidR="00347C9D" w:rsidRPr="00B868BB" w:rsidRDefault="00347C9D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noProof/>
          <w:sz w:val="24"/>
          <w:szCs w:val="24"/>
          <w:lang w:val="sr-Cyrl-RS"/>
        </w:rPr>
      </w:pPr>
    </w:p>
    <w:p w14:paraId="17C89CF5" w14:textId="77777777" w:rsidR="00347C9D" w:rsidRPr="00B868BB" w:rsidRDefault="00EE6EC2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noProof/>
          <w:sz w:val="24"/>
          <w:szCs w:val="24"/>
          <w:lang w:val="sr-Cyrl-RS"/>
        </w:rPr>
      </w:pP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Концепт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„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детињства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“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кроз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историју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драстично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мењао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Како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1960-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елаборирао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вероватно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први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историчар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детињства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Филип Аријес (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Phillip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Ari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è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s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)</w:t>
      </w:r>
      <w:r w:rsidR="009B5BE3" w:rsidRPr="00B868BB">
        <w:rPr>
          <w:rFonts w:asciiTheme="minorHAnsi" w:hAnsiTheme="minorHAnsi"/>
          <w:noProof/>
          <w:sz w:val="24"/>
          <w:szCs w:val="24"/>
          <w:vertAlign w:val="superscript"/>
          <w:lang w:val="sr-Cyrl-RS"/>
        </w:rPr>
        <w:footnoteReference w:id="2"/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седамнаестог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века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овај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концепт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постојао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пак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детињство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просто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сагледавало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оквиру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хришћанског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појма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„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првородног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греха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“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стиче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самим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чином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рођења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носе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деца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стога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нису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нимало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невина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Али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током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деветнаестог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века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деца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постају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све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више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сентиментализована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управо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симболи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невиности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тако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културализована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анђеоска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чиста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Тек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двадесетом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веку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известан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начин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деци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додељује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сопствени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глас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изван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оваквих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сентименталних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персонификација</w:t>
      </w:r>
      <w:r w:rsidR="001C4049" w:rsidRPr="00B868BB">
        <w:rPr>
          <w:rFonts w:asciiTheme="minorHAnsi" w:hAnsiTheme="minorHAnsi"/>
          <w:noProof/>
          <w:sz w:val="24"/>
          <w:szCs w:val="24"/>
          <w:lang w:val="sr-Cyrl-RS"/>
        </w:rPr>
        <w:t>,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детињство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затим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продужава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периодом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адолесценције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(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интер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р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егнумом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између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детињства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зрелости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)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појављује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култур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-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конзумерска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категорија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тинејџера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Док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1C4049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сентиментализовање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деце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деветнаестом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веку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било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одговор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њихову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експлоатацију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производне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сврхе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(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деца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-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радници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),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простор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за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наводно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еманциповање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деце</w:t>
      </w:r>
      <w:r w:rsidR="00870191" w:rsidRPr="00B868BB">
        <w:rPr>
          <w:rFonts w:asciiTheme="minorHAnsi" w:hAnsiTheme="minorHAnsi"/>
          <w:noProof/>
          <w:sz w:val="24"/>
          <w:szCs w:val="24"/>
          <w:lang w:val="sr-Cyrl-RS"/>
        </w:rPr>
        <w:t>,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посебно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од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средине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двадесетог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века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наовамо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1C4049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било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свега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условљено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њиховом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трансформацијом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конзументе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Током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двадесетог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века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деца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све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чешће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стичу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своју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културну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представљивост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1C4049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–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пример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стварање</w:t>
      </w:r>
      <w:r w:rsidR="00870191" w:rsidRPr="00B868BB">
        <w:rPr>
          <w:rFonts w:asciiTheme="minorHAnsi" w:hAnsiTheme="minorHAnsi"/>
          <w:noProof/>
          <w:sz w:val="24"/>
          <w:szCs w:val="24"/>
          <w:lang w:val="sr-Cyrl-RS"/>
        </w:rPr>
        <w:t>м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6B4746" w:rsidRPr="00B868BB">
        <w:rPr>
          <w:rFonts w:asciiTheme="minorHAnsi" w:hAnsiTheme="minorHAnsi"/>
          <w:i/>
          <w:noProof/>
          <w:color w:val="auto"/>
          <w:sz w:val="24"/>
          <w:szCs w:val="24"/>
          <w:lang w:val="sr-Cyrl-RS"/>
        </w:rPr>
        <w:t>coming-of-age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жанра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литератури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филму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870191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конструкцијом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детета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-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наратора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некаквог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проматрача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тумача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света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одраслих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="00870191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Преко фигуре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дечјег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наратора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деци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уписује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нека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врста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невине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мудрости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конструкта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уз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помоћ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одрасли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мисле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могу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представе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свој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свет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.</w:t>
      </w:r>
    </w:p>
    <w:p w14:paraId="063A282B" w14:textId="77777777" w:rsidR="00D56535" w:rsidRPr="00B868BB" w:rsidRDefault="00EE6EC2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noProof/>
          <w:sz w:val="24"/>
          <w:szCs w:val="24"/>
          <w:lang w:val="sr-Cyrl-RS"/>
        </w:rPr>
      </w:pP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Готово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од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самих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почетака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свог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уметничког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деловања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Дејан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Калу</w:t>
      </w:r>
      <w:r w:rsidR="001E070A" w:rsidRPr="00B868BB">
        <w:rPr>
          <w:rFonts w:asciiTheme="minorHAnsi" w:hAnsiTheme="minorHAnsi"/>
          <w:noProof/>
          <w:sz w:val="24"/>
          <w:szCs w:val="24"/>
          <w:lang w:val="sr-Cyrl-RS"/>
        </w:rPr>
        <w:t>дј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еровић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бави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концептом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представама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културализацијом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детињства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последњих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десетак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година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он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кроз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пројекат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i/>
          <w:iCs/>
          <w:noProof/>
          <w:sz w:val="24"/>
          <w:szCs w:val="24"/>
          <w:lang w:val="sr-Cyrl-RS"/>
        </w:rPr>
        <w:t>Конверзације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обрће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постојеће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културне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конструкте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прикупљање</w:t>
      </w:r>
      <w:r w:rsidR="00870191" w:rsidRPr="00B868BB">
        <w:rPr>
          <w:rFonts w:asciiTheme="minorHAnsi" w:hAnsiTheme="minorHAnsi"/>
          <w:noProof/>
          <w:sz w:val="24"/>
          <w:szCs w:val="24"/>
          <w:lang w:val="sr-Cyrl-RS"/>
        </w:rPr>
        <w:t>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бележење</w:t>
      </w:r>
      <w:r w:rsidR="00870191" w:rsidRPr="00B868BB">
        <w:rPr>
          <w:rFonts w:asciiTheme="minorHAnsi" w:hAnsiTheme="minorHAnsi"/>
          <w:noProof/>
          <w:sz w:val="24"/>
          <w:szCs w:val="24"/>
          <w:lang w:val="sr-Cyrl-RS"/>
        </w:rPr>
        <w:t>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директног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говора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деце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Тако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настаје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серија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тонских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lastRenderedPageBreak/>
        <w:t>записа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разговора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њима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културно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политички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различитим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срединама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(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Владикавказ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Београд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Баку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Техеран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Беч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Јерусалим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Љубљана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Грац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)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којима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Калу</w:t>
      </w:r>
      <w:r w:rsidR="001E070A" w:rsidRPr="00B868BB">
        <w:rPr>
          <w:rFonts w:asciiTheme="minorHAnsi" w:hAnsiTheme="minorHAnsi"/>
          <w:noProof/>
          <w:sz w:val="24"/>
          <w:szCs w:val="24"/>
          <w:lang w:val="sr-Cyrl-RS"/>
        </w:rPr>
        <w:t>дј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еровић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поставља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седамдесетак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питања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теме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којима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одрасли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заправо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могу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изађу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крај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најрецентнијем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Калу</w:t>
      </w:r>
      <w:r w:rsidR="001E070A" w:rsidRPr="00B868BB">
        <w:rPr>
          <w:rFonts w:asciiTheme="minorHAnsi" w:hAnsiTheme="minorHAnsi"/>
          <w:noProof/>
          <w:sz w:val="24"/>
          <w:szCs w:val="24"/>
          <w:lang w:val="sr-Cyrl-RS"/>
        </w:rPr>
        <w:t>дј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еревићем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раду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ови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снимци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постају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сирови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материјал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основу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којег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настаје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либрето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(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за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6E184C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који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ангажује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драмску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списатељицу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Та</w:t>
      </w:r>
      <w:r w:rsidR="00C67DC6" w:rsidRPr="00B868BB">
        <w:rPr>
          <w:rFonts w:asciiTheme="minorHAnsi" w:hAnsiTheme="minorHAnsi"/>
          <w:noProof/>
          <w:sz w:val="24"/>
          <w:szCs w:val="24"/>
          <w:lang w:val="sr-Cyrl-RS"/>
        </w:rPr>
        <w:t>њу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Шљивар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) </w:t>
      </w:r>
      <w:r w:rsidR="006E184C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а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композиторка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Марија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Балубџић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пише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оперу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први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пут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изведена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Грацу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режији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Бојана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Ђорђева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Галеријска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инсталација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Културном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центру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Београда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сачињена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од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певајућих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видео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-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портрета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четворо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извођача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оригиналног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снимка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извођења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Грацу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(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овде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постаје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нека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врста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просторне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позадине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)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реквизита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-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играчака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што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предимензионирани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микадо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штапићи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коцке</w:t>
      </w:r>
      <w:r w:rsidR="00216EA8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</w:t>
      </w:r>
      <w:r w:rsidR="00216EA8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словима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ова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инсталација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представља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посебну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итерацију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ове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опере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.</w:t>
      </w:r>
    </w:p>
    <w:p w14:paraId="00239FD7" w14:textId="77777777" w:rsidR="00347C9D" w:rsidRPr="00B868BB" w:rsidRDefault="00EE6EC2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noProof/>
          <w:sz w:val="24"/>
          <w:szCs w:val="24"/>
          <w:lang w:val="sr-Cyrl-RS"/>
        </w:rPr>
      </w:pP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спецификацији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начин</w:t>
      </w:r>
      <w:r w:rsidR="006E184C" w:rsidRPr="00B868BB">
        <w:rPr>
          <w:rFonts w:asciiTheme="minorHAnsi" w:hAnsiTheme="minorHAnsi" w:cs="Helvetica"/>
          <w:noProof/>
          <w:sz w:val="24"/>
          <w:szCs w:val="24"/>
          <w:lang w:val="sr-Cyrl-RS"/>
        </w:rPr>
        <w:t>â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сценско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-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театарска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перформативност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артикулише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простору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савремене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уметности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предложила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теоретичарка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Кети Чукров</w:t>
      </w:r>
      <w:r w:rsidR="009B5BE3" w:rsidRPr="00B868BB">
        <w:rPr>
          <w:rFonts w:asciiTheme="minorHAnsi" w:hAnsiTheme="minorHAnsi"/>
          <w:noProof/>
          <w:sz w:val="24"/>
          <w:szCs w:val="24"/>
          <w:vertAlign w:val="superscript"/>
          <w:lang w:val="sr-Cyrl-RS"/>
        </w:rPr>
        <w:footnoteReference w:id="3"/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Калу</w:t>
      </w:r>
      <w:r w:rsidR="00C67DC6" w:rsidRPr="00B868BB">
        <w:rPr>
          <w:rFonts w:asciiTheme="minorHAnsi" w:hAnsiTheme="minorHAnsi"/>
          <w:noProof/>
          <w:sz w:val="24"/>
          <w:szCs w:val="24"/>
          <w:lang w:val="sr-Cyrl-RS"/>
        </w:rPr>
        <w:t>дј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еровићев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поступак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спада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„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уметничке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праксе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позајмљују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перформативне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праксе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што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плес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позориште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музика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док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остају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домену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савремене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уметности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“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циљу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сталног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преиспитивања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превазилажења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медијски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-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специфичних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уметничких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поступака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Калу</w:t>
      </w:r>
      <w:r w:rsidR="00C67DC6" w:rsidRPr="00B868BB">
        <w:rPr>
          <w:rFonts w:asciiTheme="minorHAnsi" w:hAnsiTheme="minorHAnsi"/>
          <w:noProof/>
          <w:sz w:val="24"/>
          <w:szCs w:val="24"/>
          <w:lang w:val="sr-Cyrl-RS"/>
        </w:rPr>
        <w:t>дј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еровићевом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случају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овде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преиспитивање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опере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уметничког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медија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расцепу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између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сопствене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славне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традиције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којој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опера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постала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знак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(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мало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)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грађанског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припадања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висококултурним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вредностима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њеног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потенцијала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трансформише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неочекивану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форму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за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савремене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контекстуализације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реартикулације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интервенције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.</w:t>
      </w:r>
    </w:p>
    <w:p w14:paraId="71B7A0A4" w14:textId="77777777" w:rsidR="00347C9D" w:rsidRPr="00B868BB" w:rsidRDefault="006E184C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noProof/>
          <w:sz w:val="24"/>
          <w:szCs w:val="24"/>
          <w:lang w:val="sr-Cyrl-RS"/>
        </w:rPr>
      </w:pPr>
      <w:r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У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осам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арија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написаних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различитим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музичким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жанровима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дечији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искази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нису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само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израз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начина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деца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виде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свет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(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њихов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свет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заправо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увек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затечени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свет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стварају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одрасли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),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што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карактеристика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литерарних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филмских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жанрова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474783" w:rsidRPr="00B868BB">
        <w:rPr>
          <w:rFonts w:asciiTheme="minorHAnsi" w:hAnsiTheme="minorHAnsi"/>
          <w:noProof/>
          <w:sz w:val="24"/>
          <w:szCs w:val="24"/>
          <w:lang w:val="sr-Cyrl-RS"/>
        </w:rPr>
        <w:t>конструишу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фигуру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дечјег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наратора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већ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управо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начина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„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дечији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дискурс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“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јесте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нека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врста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фаталне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копије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дискурса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одраслих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копије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служи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успостављању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психо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-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политичких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дијагноза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савременог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света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за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којима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трага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свом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раду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Калу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ђ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еровић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="00005218" w:rsidRPr="00B868BB">
        <w:rPr>
          <w:rFonts w:asciiTheme="minorHAnsi" w:hAnsiTheme="minorHAnsi"/>
          <w:noProof/>
          <w:sz w:val="24"/>
          <w:szCs w:val="24"/>
          <w:lang w:val="sr-Cyrl-RS"/>
        </w:rPr>
        <w:t>Либрет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ове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опере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,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дакле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,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састоји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из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фрагмената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дечијих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одговора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питања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која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односе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неке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апстрактне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појмове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неке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„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кључних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речи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“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за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корелацију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нашег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живота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затеченог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света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Страхови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рестрикције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слобода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новац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класне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националне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разлике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сексуалност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сексуални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идентитети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рат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тортура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фосилна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горива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–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све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теме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нису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опери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представљене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тако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гледалац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може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одмах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закључити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ради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„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дечјем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дискурсу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“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већ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помишља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присуствује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брехтовском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типу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„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епског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театра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“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који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нас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упућује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видимо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свет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какав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јесте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Али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управо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„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очуђење</w:t>
      </w:r>
      <w:r w:rsidR="00E4517E" w:rsidRPr="00B868BB">
        <w:rPr>
          <w:rFonts w:asciiTheme="minorHAnsi" w:hAnsiTheme="minorHAnsi"/>
          <w:noProof/>
          <w:sz w:val="24"/>
          <w:szCs w:val="24"/>
          <w:lang w:val="sr-Cyrl-RS"/>
        </w:rPr>
        <w:t>“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Калу</w:t>
      </w:r>
      <w:r w:rsidR="00C67DC6" w:rsidRPr="00B868BB">
        <w:rPr>
          <w:rFonts w:asciiTheme="minorHAnsi" w:hAnsiTheme="minorHAnsi"/>
          <w:noProof/>
          <w:sz w:val="24"/>
          <w:szCs w:val="24"/>
          <w:lang w:val="sr-Cyrl-RS"/>
        </w:rPr>
        <w:t>дј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еровићевом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lastRenderedPageBreak/>
        <w:t>поступку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настаје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474783" w:rsidRPr="00B868BB">
        <w:rPr>
          <w:rFonts w:asciiTheme="minorHAnsi" w:hAnsiTheme="minorHAnsi"/>
          <w:noProof/>
          <w:sz w:val="24"/>
          <w:szCs w:val="24"/>
          <w:lang w:val="sr-Cyrl-RS"/>
        </w:rPr>
        <w:t>сазнањем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присуствујемо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колажу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говора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деце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,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чиме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појачава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антика</w:t>
      </w:r>
      <w:r w:rsidR="00EE6EC2" w:rsidRPr="00B868BB">
        <w:rPr>
          <w:rFonts w:asciiTheme="minorHAnsi" w:hAnsiTheme="minorHAnsi"/>
          <w:noProof/>
          <w:sz w:val="24"/>
          <w:szCs w:val="24"/>
          <w:shd w:val="clear" w:color="auto" w:fill="FFFF00"/>
          <w:lang w:val="sr-Cyrl-RS"/>
        </w:rPr>
        <w:t>т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арзични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осећај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оно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што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изговорено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преко сонгова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нешто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чим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можемо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потпуно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идентификовати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(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зато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што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смо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одрасли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)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али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баш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зато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стварније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било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какве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литерарне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конструкције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којој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одрасли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улоге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деци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.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Испеване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сентенце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као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што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пример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„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бољи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сам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тебе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почетак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свега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”,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далеко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стварније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када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изрекну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деца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,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али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бисмо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заједничке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стварности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дошли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.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Калу</w:t>
      </w:r>
      <w:r w:rsidR="001E070A" w:rsidRPr="00B868BB">
        <w:rPr>
          <w:rFonts w:asciiTheme="minorHAnsi" w:hAnsiTheme="minorHAnsi"/>
          <w:noProof/>
          <w:sz w:val="24"/>
          <w:szCs w:val="24"/>
          <w:lang w:val="sr-Cyrl-RS"/>
        </w:rPr>
        <w:t>дј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еровић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нас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провлачи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кроз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илузију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одраслих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да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могу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ту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стварност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разумети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само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уколико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она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посредована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формама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="00EE6EC2" w:rsidRPr="00B868BB">
        <w:rPr>
          <w:rFonts w:asciiTheme="minorHAnsi" w:hAnsiTheme="minorHAnsi"/>
          <w:noProof/>
          <w:sz w:val="24"/>
          <w:szCs w:val="24"/>
          <w:lang w:val="sr-Cyrl-RS"/>
        </w:rPr>
        <w:t>културализације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>.</w:t>
      </w:r>
    </w:p>
    <w:p w14:paraId="2C9AB3DC" w14:textId="77777777" w:rsidR="00347C9D" w:rsidRPr="00B868BB" w:rsidRDefault="00EE6EC2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noProof/>
          <w:sz w:val="24"/>
          <w:szCs w:val="24"/>
          <w:lang w:val="sr-Cyrl-RS"/>
        </w:rPr>
      </w:pPr>
      <w:r w:rsidRPr="00B868BB">
        <w:rPr>
          <w:rFonts w:asciiTheme="minorHAnsi" w:hAnsiTheme="minorHAnsi"/>
          <w:noProof/>
          <w:sz w:val="24"/>
          <w:szCs w:val="24"/>
          <w:lang w:val="sr-Cyrl-RS"/>
        </w:rPr>
        <w:t>Бранислав</w:t>
      </w:r>
      <w:r w:rsidR="009B5BE3" w:rsidRPr="00B868BB">
        <w:rPr>
          <w:rFonts w:asciiTheme="minorHAnsi" w:hAnsiTheme="minorHAnsi"/>
          <w:noProof/>
          <w:sz w:val="24"/>
          <w:szCs w:val="24"/>
          <w:lang w:val="sr-Cyrl-RS"/>
        </w:rPr>
        <w:t xml:space="preserve"> </w:t>
      </w:r>
      <w:r w:rsidRPr="00B868BB">
        <w:rPr>
          <w:rFonts w:asciiTheme="minorHAnsi" w:hAnsiTheme="minorHAnsi"/>
          <w:noProof/>
          <w:sz w:val="24"/>
          <w:szCs w:val="24"/>
          <w:lang w:val="sr-Cyrl-RS"/>
        </w:rPr>
        <w:t>Димитријевић</w:t>
      </w:r>
    </w:p>
    <w:p w14:paraId="45F2BF96" w14:textId="77777777" w:rsidR="00E4517E" w:rsidRPr="00B868BB" w:rsidRDefault="00E4517E" w:rsidP="003E5C89">
      <w:pPr>
        <w:pStyle w:val="BodyA"/>
        <w:spacing w:before="100" w:beforeAutospacing="1" w:after="100" w:afterAutospacing="1" w:line="288" w:lineRule="auto"/>
        <w:rPr>
          <w:rFonts w:asciiTheme="minorHAnsi" w:hAnsiTheme="minorHAnsi"/>
          <w:noProof/>
          <w:sz w:val="24"/>
          <w:szCs w:val="24"/>
          <w:lang w:val="sr-Cyrl-RS"/>
        </w:rPr>
      </w:pPr>
    </w:p>
    <w:sectPr w:rsidR="00E4517E" w:rsidRPr="00B868BB" w:rsidSect="006659E4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4175D" w14:textId="77777777" w:rsidR="00C25670" w:rsidRDefault="00C25670">
      <w:r>
        <w:separator/>
      </w:r>
    </w:p>
  </w:endnote>
  <w:endnote w:type="continuationSeparator" w:id="0">
    <w:p w14:paraId="01FDF579" w14:textId="77777777" w:rsidR="00C25670" w:rsidRDefault="00C2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F7D5E" w14:textId="77777777" w:rsidR="00EE6EC2" w:rsidRDefault="00EE6EC2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224C0" w14:textId="77777777" w:rsidR="00C25670" w:rsidRDefault="00C25670">
      <w:r>
        <w:separator/>
      </w:r>
    </w:p>
  </w:footnote>
  <w:footnote w:type="continuationSeparator" w:id="0">
    <w:p w14:paraId="7242C421" w14:textId="77777777" w:rsidR="00C25670" w:rsidRDefault="00C25670">
      <w:r>
        <w:continuationSeparator/>
      </w:r>
    </w:p>
  </w:footnote>
  <w:footnote w:type="continuationNotice" w:id="1">
    <w:p w14:paraId="567A04FF" w14:textId="77777777" w:rsidR="00C25670" w:rsidRDefault="00C25670"/>
  </w:footnote>
  <w:footnote w:id="2">
    <w:p w14:paraId="138FCF5E" w14:textId="77777777" w:rsidR="00EE6EC2" w:rsidRDefault="00EE6EC2">
      <w:pPr>
        <w:pStyle w:val="Footnote"/>
      </w:pPr>
      <w:r>
        <w:rPr>
          <w:sz w:val="24"/>
          <w:szCs w:val="24"/>
          <w:vertAlign w:val="superscript"/>
        </w:rPr>
        <w:footnoteRef/>
      </w:r>
      <w:r>
        <w:t xml:space="preserve"> </w:t>
      </w:r>
      <w:r>
        <w:rPr>
          <w:lang w:val="nl-NL"/>
        </w:rPr>
        <w:t>Phillip Ari</w:t>
      </w:r>
      <w:r>
        <w:rPr>
          <w:lang w:val="fr-FR"/>
        </w:rPr>
        <w:t>è</w:t>
      </w:r>
      <w:r>
        <w:t xml:space="preserve">s, </w:t>
      </w:r>
      <w:proofErr w:type="spellStart"/>
      <w:r>
        <w:rPr>
          <w:i/>
          <w:iCs/>
        </w:rPr>
        <w:t>Vekovi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detinjstva</w:t>
      </w:r>
      <w:proofErr w:type="spellEnd"/>
      <w:r>
        <w:t xml:space="preserve"> (1960), </w:t>
      </w:r>
      <w:proofErr w:type="spellStart"/>
      <w:r>
        <w:t>Завод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уџбенике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>, 1980.</w:t>
      </w:r>
    </w:p>
  </w:footnote>
  <w:footnote w:id="3">
    <w:p w14:paraId="0F130C36" w14:textId="77777777" w:rsidR="00EE6EC2" w:rsidRDefault="00EE6EC2">
      <w:pPr>
        <w:pStyle w:val="Footnote"/>
      </w:pPr>
      <w:r>
        <w:rPr>
          <w:sz w:val="24"/>
          <w:szCs w:val="24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Keti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Chukhrov</w:t>
      </w:r>
      <w:proofErr w:type="spellEnd"/>
      <w:r>
        <w:rPr>
          <w:rFonts w:eastAsia="Arial Unicode MS" w:cs="Arial Unicode MS"/>
        </w:rPr>
        <w:t xml:space="preserve">, “The post-dramatic theater’s misadventures in the age of contemporary art”, </w:t>
      </w:r>
      <w:r>
        <w:rPr>
          <w:rFonts w:eastAsia="Arial Unicode MS" w:cs="Arial Unicode MS"/>
          <w:i/>
          <w:iCs/>
        </w:rPr>
        <w:t>E-flux Journal</w:t>
      </w:r>
      <w:r>
        <w:rPr>
          <w:rFonts w:eastAsia="Arial Unicode MS" w:cs="Arial Unicode MS"/>
        </w:rPr>
        <w:t>, br. 120, 2021.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B508F" w14:textId="77777777" w:rsidR="00EE6EC2" w:rsidRDefault="00EE6EC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7C9D"/>
    <w:rsid w:val="00005218"/>
    <w:rsid w:val="00050858"/>
    <w:rsid w:val="001835CB"/>
    <w:rsid w:val="001C4049"/>
    <w:rsid w:val="001E070A"/>
    <w:rsid w:val="001E2F9F"/>
    <w:rsid w:val="00216EA8"/>
    <w:rsid w:val="00347C9D"/>
    <w:rsid w:val="003B044C"/>
    <w:rsid w:val="003E5C89"/>
    <w:rsid w:val="0040616A"/>
    <w:rsid w:val="00455983"/>
    <w:rsid w:val="00474783"/>
    <w:rsid w:val="00477E1A"/>
    <w:rsid w:val="00581700"/>
    <w:rsid w:val="005B7C7A"/>
    <w:rsid w:val="005E290A"/>
    <w:rsid w:val="00627A60"/>
    <w:rsid w:val="0064276E"/>
    <w:rsid w:val="00654401"/>
    <w:rsid w:val="006659E4"/>
    <w:rsid w:val="006A1FE9"/>
    <w:rsid w:val="006B4746"/>
    <w:rsid w:val="006D01CC"/>
    <w:rsid w:val="006E184C"/>
    <w:rsid w:val="00870191"/>
    <w:rsid w:val="00896EA8"/>
    <w:rsid w:val="008C4100"/>
    <w:rsid w:val="008D10A7"/>
    <w:rsid w:val="008E2095"/>
    <w:rsid w:val="009B5BE3"/>
    <w:rsid w:val="00B868BB"/>
    <w:rsid w:val="00BA3DC7"/>
    <w:rsid w:val="00BD0608"/>
    <w:rsid w:val="00BD1B2A"/>
    <w:rsid w:val="00C25670"/>
    <w:rsid w:val="00C67DC6"/>
    <w:rsid w:val="00D56535"/>
    <w:rsid w:val="00D6046F"/>
    <w:rsid w:val="00D819E9"/>
    <w:rsid w:val="00DC5666"/>
    <w:rsid w:val="00E4517E"/>
    <w:rsid w:val="00E77F43"/>
    <w:rsid w:val="00EE6EC2"/>
    <w:rsid w:val="00F82811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C5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59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59E4"/>
    <w:rPr>
      <w:u w:val="single"/>
    </w:rPr>
  </w:style>
  <w:style w:type="paragraph" w:customStyle="1" w:styleId="HeaderFooter">
    <w:name w:val="Header &amp; Footer"/>
    <w:rsid w:val="006659E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6659E4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Footnote">
    <w:name w:val="Footnote"/>
    <w:rsid w:val="006659E4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E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E1A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B868B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68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B8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795</Words>
  <Characters>4534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dragan.nikolic@kcb.org.rs</cp:lastModifiedBy>
  <cp:revision>7</cp:revision>
  <cp:lastPrinted>2022-11-21T10:05:00Z</cp:lastPrinted>
  <dcterms:created xsi:type="dcterms:W3CDTF">2022-11-28T13:49:00Z</dcterms:created>
  <dcterms:modified xsi:type="dcterms:W3CDTF">2022-12-05T11:15:00Z</dcterms:modified>
</cp:coreProperties>
</file>