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4662" w14:textId="2DA2A396" w:rsidR="009A3FF6" w:rsidRDefault="009A3FF6" w:rsidP="009A3FF6">
      <w:pPr>
        <w:spacing w:line="360" w:lineRule="auto"/>
        <w:jc w:val="right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Tekst povodom samostalne izložbe Stanka Gagrčina u Likovnoj galeriji KCB</w:t>
      </w:r>
    </w:p>
    <w:p w14:paraId="7EEB0034" w14:textId="5AA2ABB8" w:rsidR="009A3FF6" w:rsidRDefault="009A3FF6" w:rsidP="009A3FF6">
      <w:pPr>
        <w:spacing w:line="360" w:lineRule="auto"/>
        <w:jc w:val="right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31. 8 – 23. 9. 2023.</w:t>
      </w:r>
    </w:p>
    <w:p w14:paraId="5B52D412" w14:textId="77777777" w:rsidR="009A3FF6" w:rsidRDefault="009A3FF6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</w:p>
    <w:p w14:paraId="00000001" w14:textId="77777777" w:rsidR="00FE20E7" w:rsidRPr="00A5600E" w:rsidRDefault="00B66C31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Živimo u vremenu post-istorije, post-kolinijalizma, post-humanizma, post-Jugoslavije. Prefiks „post-” provejava skoro svakim diskursom koji se vodi u savremenoj humanistici i predstavlja simptom vremena koje se tumači kao sekundarno u odnosu na preostali t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ok istorije. Ovaj prefiks, definisan kao fenomen simultanog odsustva i prisutnosti, predstavlja istovremeno prlibližavanje, ali i odvajanje od pojma. Koliko god da se separatišemo od reči koja sledi nakon post-, ovim prefiksom je održavamo, u skoro naivnom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 odbijanju da napustimo shvatanje sveta u koji više ni sami ne verujemo.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vertAlign w:val="superscript"/>
          <w:lang w:val="sr-Latn-RS"/>
        </w:rPr>
        <w:footnoteReference w:id="1"/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  </w:t>
      </w:r>
    </w:p>
    <w:p w14:paraId="00000002" w14:textId="77777777" w:rsidR="00FE20E7" w:rsidRPr="00A5600E" w:rsidRDefault="00B66C31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U radu „Yugowave” umetnika Stanka Gagrčina, gotovo je sveprisutan ključni „post-” termin ovih prostora – Post-Jugoslavija. Centriran oko perspektive generacije koja je rođena nakon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 ratova devedesetih i raspada Jugoslavije, rad predstavlja jedno zbunjujuće lutanje koje ne pruža pregledenost sadržaja. Za generaciju rođenu nakon rata, skoro da postoji nevidljiva barijera između termina „Jugoslavija” i „Ratovi devedesetih”. Nemoguće je 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formirati jasnu sliku o priči koja podrazumeva utopističko jedinstvo i razaranje i nasilje koje je usledilo. Potpuno drugačije prizvuke imaju ova dva pojma. Prvi je gotovo nostalgičnog prizvuka, dok je prizvuk drugog srodan onom iz razgovora s detetom: „Mo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rao si da budeš tu da bi razumeo”</w:t>
      </w:r>
      <w:r w:rsidRPr="00A5600E">
        <w:rPr>
          <w:rFonts w:ascii="Helvetica Neue" w:eastAsia="Helvetica Neue" w:hAnsi="Helvetica Neue" w:cs="Helvetica Neue"/>
          <w:i/>
          <w:noProof/>
          <w:sz w:val="24"/>
          <w:szCs w:val="24"/>
          <w:lang w:val="sr-Latn-RS"/>
        </w:rPr>
        <w:t xml:space="preserve">. 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Međutim, šta se dešava sa generacijom rođenom bez iskustva „iz prve ruke”, bez sedenja pored televizora i praćenja vesti, bez redova za mleko zbog inflacije, bez strepnje od smrti?</w:t>
      </w:r>
    </w:p>
    <w:p w14:paraId="00000003" w14:textId="55755540" w:rsidR="00FE20E7" w:rsidRPr="00A5600E" w:rsidRDefault="00B66C31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Stanko Gagrčin u svom radu je pokušao da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 predstavi dezorijentisanost u  sagledavanju skorije istorije. „Yugowave” je instalacija u obliku video</w:t>
      </w:r>
      <w:r w:rsidR="00280A62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-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igrice, u kojoj se posetilac izložbe kreće kroz napušteni industrijski prostor i nailazi na poplavljene sobe, televizijske ekrane, rastinje, kao i predm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ete koji asociraju na SFRJ. Kombinujući distopijske prostore sa predmetima nostalgije, umetnik stvara osećaj somnambulnosti – mi ne koračamo, mi lebdimo kroz igricu, a naše prisustvo ne menja ništa. U ovoj igrici mi nismo aktivni protagonisti koji za cilj 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imaju da reše ili prevaziđu prepreku kako bi došli do kraja narativa. Nama, učesnicima, data je mogućnost da 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lastRenderedPageBreak/>
        <w:t>istražujemo. Na televizijskim ekranima koji su raštrkani po prostoru, prikazani su muzički spotovi osamdesetih godina dvadesetog veka. Pesme, za ko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je su kreirani ovi spotovi i koj</w:t>
      </w:r>
      <w:r w:rsidR="00F9070F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e se i danas mogu čuti na radio-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stanicama, predstavljaju markere žudnje za prošlim, za „bezbrižnim”. Pored toga, </w:t>
      </w:r>
      <w:r w:rsidR="00733F7A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vizuelni segment spotova jeste 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svojevrsna kulturna mapa vremena u kome su oni nastali, budući da prikazuju šta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 je bilo u trendu, šta je bilo subverzivno i šta je bilo estetski privlačno. Nasup</w:t>
      </w:r>
      <w:r w:rsidR="00100F38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rot njima, postavljeni su audio-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zapisi iz jugoslovenskih ratova, govori generala i političara, kao i svedočanstva civila. Prostor je reaktivan, zvučni zapisi koji nas prate d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eluju da su nasumično pušteni, a samostalno kretanje kroz apokaliptične prostorije izaziva  osećaj nelagode. Ovi prizori nisu nešto što bismo mogli pasivno posmatrati, kroz njih je neophodno proći. Povezani u jednom prostoru, spotovi sučeljeni sa zvučnim z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apisima stvaraju  antropološku celinu i kombinuju aspekte koje današnje društvo i dalje vrednuje sa propastima o kojima </w:t>
      </w:r>
      <w:r w:rsidR="00F677A5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se </w:t>
      </w:r>
      <w:bookmarkStart w:id="0" w:name="_GoBack"/>
      <w:bookmarkEnd w:id="0"/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radije ne bi govorilo. Kompleksnost koja se rađa između kreativnog potencijala sa jedne, i političkih matrica koje proizvode konflikt i 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stanje konstantne društvene krize sa druge strane, postaje još snažnija kroz primere jugoslovenskog nasleđa i ratova devedesetih ukoliko uzmemo u obzir kratak vremenski raspon koji ih deli. Struktura prostora unutar igrice je lavirint. On je fiksan, ali kr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etanje učesnika nije, on sam odlučuje koliko brzo ili sporo prolazi pored stvari koje vidi i čuje, gde se zaustavlja, i čemu posvećuje pažnju. Kada dođemo do kraja, igrica nas vrati na početak, blokirajući svaki potencijal da se krene u budućnost. </w:t>
      </w:r>
    </w:p>
    <w:p w14:paraId="00000004" w14:textId="77777777" w:rsidR="00FE20E7" w:rsidRPr="00A5600E" w:rsidRDefault="00B66C31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„Yugowa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ve” poziva na razgovor i na suočavanje sa prošlošću kroz podsticanje generacija rođenih tokom i nakon jugoslovenskih ratova da počnu proces istraživanja i formiranja mišljenja o fenomenima koji su ih oblikovali. Generacija isključena iz dijaloga je odgajan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a na posledicama rata, uz rečenice „Pazi se” pred svako putovanje u prethodno zaraćene zemlje. Sve je prisutnija potreba za razumevanjem i otvorenim dijalogom, stoga „Yugowave” ne daje odgovore i komentare, nego stvara distopičnu arheologiju budućnosti kro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z koju učesnici moraju kopati. U Gagrčinovom radu, stvarnost je zamenjena njenim simbolima, kako kulture, tako i stradanja. Uprkos visokom realizmu u prikazivanju prizora i dalje se odaje utisak da učesnici prolaze kroz dolinu sablasnosti, daleko od proživ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 xml:space="preserve">ljenog. U napuštenom industrijskom prostoru koji predstavlja posmatraču daleku budućnost, nailazimo na prizore koji poprimaju svojstvo artefakta, svedoka civilizacije koje više nema. U radu se 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lastRenderedPageBreak/>
        <w:t>istovremeno javlja potreba za održavanjem sećanja na kulturu, a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li i  za sećanjem na izgubljeno. Istorija nije okončana, njene ruševine nastavljaju da se gomilaju do neba.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vertAlign w:val="superscript"/>
          <w:lang w:val="sr-Latn-RS"/>
        </w:rPr>
        <w:footnoteReference w:id="2"/>
      </w:r>
    </w:p>
    <w:p w14:paraId="00000005" w14:textId="77777777" w:rsidR="00FE20E7" w:rsidRPr="00A5600E" w:rsidRDefault="00B66C31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Agonija stvarnog i racionalnog se uvodi u eru simulacije. Brojne generacije živele su na tragu istorije, preteći u euforičnoj ili katastrofičnoj st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repnji neke revolucije, dok danas imamo utisak da se istorija povukla. Ona je za sobom ostavila neku indiferentnu nebulozu, ispresecanu nekim tokovima, ali lišenu svojih referenci.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vertAlign w:val="superscript"/>
          <w:lang w:val="sr-Latn-RS"/>
        </w:rPr>
        <w:footnoteReference w:id="3"/>
      </w:r>
      <w:r w:rsidRPr="00A5600E">
        <w:rPr>
          <w:rFonts w:ascii="Helvetica Neue" w:eastAsia="Helvetica Neue" w:hAnsi="Helvetica Neue" w:cs="Helvetica Neue"/>
          <w:i/>
          <w:noProof/>
          <w:sz w:val="24"/>
          <w:szCs w:val="24"/>
          <w:lang w:val="sr-Latn-RS"/>
        </w:rPr>
        <w:t xml:space="preserve"> 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Rad „Yugowave” je more simbola, gde utopizam i razaranje idu ruku pod ruku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, ali ne koegzistiraju, već među njima provejava osećaj zbunjenosti. Nama ostaju apstraktne ideje, simulacije i nejasni predeli informacija uz osećaj da smo uvek nadomak razumevanju, nadomak odgovoru. Mi lutamo cirkularnim lavirintom istorije, u nadi da će</w:t>
      </w: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mo nekada pronaći izlaz, da će se do te tačke doći. Možda ne postoji, ali u periodu simulacije i post- prefiksa, samo traganje predstavlja revolucionarni čin.</w:t>
      </w:r>
    </w:p>
    <w:p w14:paraId="00000006" w14:textId="77777777" w:rsidR="00FE20E7" w:rsidRPr="00A5600E" w:rsidRDefault="00FE20E7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</w:p>
    <w:p w14:paraId="00000007" w14:textId="77777777" w:rsidR="00FE20E7" w:rsidRPr="00A5600E" w:rsidRDefault="00FE20E7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</w:p>
    <w:p w14:paraId="00000008" w14:textId="77777777" w:rsidR="00FE20E7" w:rsidRPr="00A5600E" w:rsidRDefault="00FE20E7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</w:p>
    <w:p w14:paraId="00000009" w14:textId="77777777" w:rsidR="00FE20E7" w:rsidRPr="00A5600E" w:rsidRDefault="00B66C31">
      <w:pPr>
        <w:spacing w:line="360" w:lineRule="auto"/>
        <w:jc w:val="both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 w:rsidRPr="00A5600E"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  <w:t>Jovana Trifuljesko</w:t>
      </w:r>
    </w:p>
    <w:sectPr w:rsidR="00FE20E7" w:rsidRPr="00A560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5F8B4" w14:textId="77777777" w:rsidR="00B66C31" w:rsidRDefault="00B66C31">
      <w:pPr>
        <w:spacing w:line="240" w:lineRule="auto"/>
      </w:pPr>
      <w:r>
        <w:separator/>
      </w:r>
    </w:p>
  </w:endnote>
  <w:endnote w:type="continuationSeparator" w:id="0">
    <w:p w14:paraId="249B58DD" w14:textId="77777777" w:rsidR="00B66C31" w:rsidRDefault="00B66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3ABCF" w14:textId="77777777" w:rsidR="00B66C31" w:rsidRDefault="00B66C31">
      <w:pPr>
        <w:spacing w:line="240" w:lineRule="auto"/>
      </w:pPr>
      <w:r>
        <w:separator/>
      </w:r>
    </w:p>
  </w:footnote>
  <w:footnote w:type="continuationSeparator" w:id="0">
    <w:p w14:paraId="0526BAAC" w14:textId="77777777" w:rsidR="00B66C31" w:rsidRDefault="00B66C31">
      <w:pPr>
        <w:spacing w:line="240" w:lineRule="auto"/>
      </w:pPr>
      <w:r>
        <w:continuationSeparator/>
      </w:r>
    </w:p>
  </w:footnote>
  <w:footnote w:id="1">
    <w:p w14:paraId="0000000A" w14:textId="5D2723E2" w:rsidR="00FE20E7" w:rsidRPr="00280A62" w:rsidRDefault="00B66C31">
      <w:pPr>
        <w:spacing w:line="240" w:lineRule="auto"/>
        <w:rPr>
          <w:noProof/>
          <w:sz w:val="20"/>
          <w:szCs w:val="20"/>
          <w:lang w:val="sr-Latn-RS"/>
        </w:rPr>
      </w:pPr>
      <w:r w:rsidRPr="00280A62">
        <w:rPr>
          <w:noProof/>
          <w:vertAlign w:val="superscript"/>
          <w:lang w:val="sr-Latn-RS"/>
        </w:rPr>
        <w:footnoteRef/>
      </w:r>
      <w:r w:rsidRPr="00280A62">
        <w:rPr>
          <w:noProof/>
          <w:sz w:val="20"/>
          <w:szCs w:val="20"/>
          <w:lang w:val="sr-Latn-RS"/>
        </w:rPr>
        <w:t xml:space="preserve"> Štajerl, Hito,</w:t>
      </w:r>
      <w:r w:rsidRPr="00280A62">
        <w:rPr>
          <w:i/>
          <w:noProof/>
          <w:sz w:val="20"/>
          <w:szCs w:val="20"/>
          <w:lang w:val="sr-Latn-RS"/>
        </w:rPr>
        <w:t xml:space="preserve"> Duty Free Art </w:t>
      </w:r>
      <w:r w:rsidR="00280A62">
        <w:rPr>
          <w:i/>
          <w:noProof/>
          <w:sz w:val="20"/>
          <w:szCs w:val="20"/>
          <w:lang w:val="sr-Latn-RS"/>
        </w:rPr>
        <w:t>–</w:t>
      </w:r>
      <w:r w:rsidRPr="00280A62">
        <w:rPr>
          <w:i/>
          <w:noProof/>
          <w:sz w:val="20"/>
          <w:szCs w:val="20"/>
          <w:lang w:val="sr-Latn-RS"/>
        </w:rPr>
        <w:t xml:space="preserve"> U</w:t>
      </w:r>
      <w:r w:rsidRPr="00280A62">
        <w:rPr>
          <w:i/>
          <w:noProof/>
          <w:sz w:val="20"/>
          <w:szCs w:val="20"/>
          <w:lang w:val="sr-Latn-RS"/>
        </w:rPr>
        <w:t>metnost u doba planetarnog građanskog rat</w:t>
      </w:r>
      <w:r w:rsidRPr="00280A62">
        <w:rPr>
          <w:i/>
          <w:noProof/>
          <w:sz w:val="20"/>
          <w:szCs w:val="20"/>
          <w:lang w:val="sr-Latn-RS"/>
        </w:rPr>
        <w:t xml:space="preserve">a, </w:t>
      </w:r>
      <w:r w:rsidRPr="00280A62">
        <w:rPr>
          <w:noProof/>
          <w:sz w:val="20"/>
          <w:szCs w:val="20"/>
          <w:lang w:val="sr-Latn-RS"/>
        </w:rPr>
        <w:t xml:space="preserve">Fakultet za medije i komunikacije Univerzitet Singidunum, Beograd 2019., strana 126 </w:t>
      </w:r>
    </w:p>
  </w:footnote>
  <w:footnote w:id="2">
    <w:p w14:paraId="0000000B" w14:textId="77777777" w:rsidR="00FE20E7" w:rsidRPr="00280A62" w:rsidRDefault="00B66C31">
      <w:pPr>
        <w:spacing w:line="240" w:lineRule="auto"/>
        <w:rPr>
          <w:noProof/>
          <w:sz w:val="20"/>
          <w:szCs w:val="20"/>
          <w:lang w:val="sr-Latn-RS"/>
        </w:rPr>
      </w:pPr>
      <w:r w:rsidRPr="00280A62">
        <w:rPr>
          <w:noProof/>
          <w:vertAlign w:val="superscript"/>
          <w:lang w:val="sr-Latn-RS"/>
        </w:rPr>
        <w:footnoteRef/>
      </w:r>
      <w:r w:rsidRPr="00280A62">
        <w:rPr>
          <w:noProof/>
          <w:sz w:val="20"/>
          <w:szCs w:val="20"/>
          <w:lang w:val="sr-Latn-RS"/>
        </w:rPr>
        <w:t xml:space="preserve"> Isto, strana 106</w:t>
      </w:r>
    </w:p>
  </w:footnote>
  <w:footnote w:id="3">
    <w:p w14:paraId="0000000C" w14:textId="77777777" w:rsidR="00FE20E7" w:rsidRPr="00280A62" w:rsidRDefault="00B66C31">
      <w:pPr>
        <w:spacing w:line="240" w:lineRule="auto"/>
        <w:rPr>
          <w:noProof/>
          <w:sz w:val="20"/>
          <w:szCs w:val="20"/>
          <w:lang w:val="sr-Latn-RS"/>
        </w:rPr>
      </w:pPr>
      <w:r w:rsidRPr="00280A62">
        <w:rPr>
          <w:noProof/>
          <w:vertAlign w:val="superscript"/>
          <w:lang w:val="sr-Latn-RS"/>
        </w:rPr>
        <w:footnoteRef/>
      </w:r>
      <w:r w:rsidRPr="00280A62">
        <w:rPr>
          <w:noProof/>
          <w:sz w:val="20"/>
          <w:szCs w:val="20"/>
          <w:lang w:val="sr-Latn-RS"/>
        </w:rPr>
        <w:t xml:space="preserve"> Bodrijar, Žan,</w:t>
      </w:r>
      <w:r w:rsidRPr="00280A62">
        <w:rPr>
          <w:i/>
          <w:noProof/>
          <w:sz w:val="20"/>
          <w:szCs w:val="20"/>
          <w:lang w:val="sr-Latn-RS"/>
        </w:rPr>
        <w:t xml:space="preserve"> Simulakrumi i simulacija, </w:t>
      </w:r>
      <w:r w:rsidRPr="00280A62">
        <w:rPr>
          <w:noProof/>
          <w:sz w:val="20"/>
          <w:szCs w:val="20"/>
          <w:lang w:val="sr-Latn-RS"/>
        </w:rPr>
        <w:t>Svetovi, Novi Sad 1991, strana 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E7"/>
    <w:rsid w:val="00100F38"/>
    <w:rsid w:val="00280A62"/>
    <w:rsid w:val="00733F7A"/>
    <w:rsid w:val="009A3FF6"/>
    <w:rsid w:val="00A5600E"/>
    <w:rsid w:val="00B66C31"/>
    <w:rsid w:val="00F677A5"/>
    <w:rsid w:val="00F9070F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4DA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882</Words>
  <Characters>5028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dragan.nikolic@kcb.org.rs</cp:lastModifiedBy>
  <cp:revision>7</cp:revision>
  <dcterms:created xsi:type="dcterms:W3CDTF">2023-08-21T09:01:00Z</dcterms:created>
  <dcterms:modified xsi:type="dcterms:W3CDTF">2023-08-21T09:38:00Z</dcterms:modified>
</cp:coreProperties>
</file>